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C8" w:rsidRPr="00FA46C4" w:rsidRDefault="00E92DC8" w:rsidP="00FA46C4">
      <w:pPr>
        <w:spacing w:line="240" w:lineRule="auto"/>
        <w:contextualSpacing/>
        <w:rPr>
          <w:rFonts w:cstheme="minorHAnsi"/>
        </w:rPr>
      </w:pPr>
      <w:r w:rsidRPr="00FA46C4">
        <w:rPr>
          <w:rFonts w:cstheme="minorHAnsi"/>
        </w:rPr>
        <w:tab/>
      </w:r>
    </w:p>
    <w:p w:rsidR="00E92DC8" w:rsidRPr="00FA46C4" w:rsidRDefault="007711EF" w:rsidP="00FA46C4">
      <w:pPr>
        <w:spacing w:before="100" w:beforeAutospacing="1" w:after="100" w:afterAutospacing="1" w:line="240" w:lineRule="auto"/>
        <w:contextualSpacing/>
        <w:rPr>
          <w:rFonts w:eastAsia="Times New Roman" w:cstheme="minorHAnsi"/>
          <w:bCs/>
          <w:lang w:eastAsia="en-GB"/>
        </w:rPr>
      </w:pPr>
      <w:r w:rsidRPr="00FA46C4">
        <w:rPr>
          <w:rFonts w:eastAsia="Times New Roman" w:cstheme="minorHAnsi"/>
          <w:bCs/>
          <w:lang w:eastAsia="en-GB"/>
        </w:rPr>
        <w:t>June</w:t>
      </w:r>
      <w:r w:rsidR="00F03DCA" w:rsidRPr="00FA46C4">
        <w:rPr>
          <w:rFonts w:eastAsia="Times New Roman" w:cstheme="minorHAnsi"/>
          <w:bCs/>
          <w:lang w:eastAsia="en-GB"/>
        </w:rPr>
        <w:t xml:space="preserve"> </w:t>
      </w:r>
      <w:r w:rsidR="00FA46C4" w:rsidRPr="00FA46C4">
        <w:rPr>
          <w:rFonts w:eastAsia="Times New Roman" w:cstheme="minorHAnsi"/>
          <w:bCs/>
          <w:lang w:eastAsia="en-GB"/>
        </w:rPr>
        <w:t>24</w:t>
      </w:r>
      <w:r w:rsidR="00F03DCA" w:rsidRPr="00FA46C4">
        <w:rPr>
          <w:rFonts w:eastAsia="Times New Roman" w:cstheme="minorHAnsi"/>
          <w:bCs/>
          <w:lang w:eastAsia="en-GB"/>
        </w:rPr>
        <w:t xml:space="preserve">, </w:t>
      </w:r>
      <w:r w:rsidR="00004420" w:rsidRPr="00FA46C4">
        <w:rPr>
          <w:rFonts w:eastAsia="Times New Roman" w:cstheme="minorHAnsi"/>
          <w:bCs/>
          <w:lang w:eastAsia="en-GB"/>
        </w:rPr>
        <w:t>201</w:t>
      </w:r>
      <w:r w:rsidR="00F62358" w:rsidRPr="00FA46C4">
        <w:rPr>
          <w:rFonts w:eastAsia="Times New Roman" w:cstheme="minorHAnsi"/>
          <w:bCs/>
          <w:lang w:eastAsia="en-GB"/>
        </w:rPr>
        <w:t>9</w:t>
      </w:r>
    </w:p>
    <w:p w:rsidR="00E92DC8" w:rsidRPr="00FA46C4" w:rsidRDefault="00E92DC8" w:rsidP="00FA46C4">
      <w:pPr>
        <w:spacing w:after="0" w:line="240" w:lineRule="auto"/>
        <w:contextualSpacing/>
        <w:rPr>
          <w:rFonts w:eastAsia="Times New Roman" w:cstheme="minorHAnsi"/>
          <w:b/>
          <w:bCs/>
          <w:color w:val="313131"/>
          <w:u w:val="single"/>
          <w:lang w:eastAsia="en-GB"/>
        </w:rPr>
      </w:pPr>
    </w:p>
    <w:p w:rsidR="00FA46C4" w:rsidRPr="00FA46C4" w:rsidRDefault="00FA46C4" w:rsidP="00FA46C4">
      <w:pPr>
        <w:spacing w:before="100" w:beforeAutospacing="1" w:after="100" w:afterAutospacing="1" w:line="240" w:lineRule="auto"/>
        <w:contextualSpacing/>
        <w:jc w:val="both"/>
        <w:rPr>
          <w:rFonts w:eastAsia="Times New Roman" w:cstheme="minorHAnsi"/>
          <w:lang w:val="en-IN" w:eastAsia="en-IN"/>
        </w:rPr>
      </w:pPr>
      <w:r w:rsidRPr="00FA46C4">
        <w:rPr>
          <w:rFonts w:eastAsia="Times New Roman" w:cstheme="minorHAnsi"/>
          <w:b/>
          <w:bCs/>
          <w:u w:val="single"/>
          <w:lang w:val="en-IN" w:eastAsia="en-IN"/>
        </w:rPr>
        <w:t>Subject: Intimation of Schedule of Non-Deal Road show under the SEBI (Listing Obligations and Disclosure Requirements), Regulations 2015</w:t>
      </w:r>
    </w:p>
    <w:p w:rsidR="00FA46C4" w:rsidRPr="00FA46C4" w:rsidRDefault="00FA46C4" w:rsidP="00FA46C4">
      <w:pPr>
        <w:spacing w:before="100" w:beforeAutospacing="1" w:after="100" w:afterAutospacing="1" w:line="240" w:lineRule="auto"/>
        <w:contextualSpacing/>
        <w:rPr>
          <w:rFonts w:eastAsia="Times New Roman" w:cstheme="minorHAnsi"/>
          <w:lang w:val="en-IN" w:eastAsia="en-IN"/>
        </w:rPr>
      </w:pPr>
      <w:r w:rsidRPr="00FA46C4">
        <w:rPr>
          <w:rFonts w:eastAsia="Times New Roman" w:cstheme="minorHAnsi"/>
          <w:lang w:val="en-IN" w:eastAsia="en-IN"/>
        </w:rPr>
        <w:t> </w:t>
      </w:r>
    </w:p>
    <w:p w:rsidR="00FA46C4" w:rsidRPr="00FA46C4" w:rsidRDefault="00FA46C4" w:rsidP="00FA46C4">
      <w:pPr>
        <w:spacing w:before="100" w:beforeAutospacing="1" w:after="100" w:afterAutospacing="1" w:line="240" w:lineRule="auto"/>
        <w:contextualSpacing/>
        <w:jc w:val="both"/>
        <w:rPr>
          <w:rFonts w:eastAsia="Times New Roman" w:cstheme="minorHAnsi"/>
          <w:lang w:val="en-IN" w:eastAsia="en-IN"/>
        </w:rPr>
      </w:pPr>
      <w:r w:rsidRPr="00FA46C4">
        <w:rPr>
          <w:rFonts w:eastAsia="Times New Roman" w:cstheme="minorHAnsi"/>
          <w:lang w:val="en-IN" w:eastAsia="en-IN"/>
        </w:rPr>
        <w:t>This is to inform you that pursuant to Regulation 30(6) of the Securities and Exchange Board of India (Listing Obligations and Disclosure Requirements) Regulations, 2015, the Company shall be meeting investors/analysts in Singapore &amp; Hong Kong from 26</w:t>
      </w:r>
      <w:r w:rsidRPr="00FA46C4">
        <w:rPr>
          <w:rFonts w:eastAsia="Times New Roman" w:cstheme="minorHAnsi"/>
          <w:vertAlign w:val="superscript"/>
          <w:lang w:val="en-IN" w:eastAsia="en-IN"/>
        </w:rPr>
        <w:t>th</w:t>
      </w:r>
      <w:r w:rsidRPr="00FA46C4">
        <w:rPr>
          <w:rFonts w:eastAsia="Times New Roman" w:cstheme="minorHAnsi"/>
          <w:lang w:val="en-IN" w:eastAsia="en-IN"/>
        </w:rPr>
        <w:t xml:space="preserve"> June, 2019 to 28</w:t>
      </w:r>
      <w:r w:rsidRPr="00FA46C4">
        <w:rPr>
          <w:rFonts w:eastAsia="Times New Roman" w:cstheme="minorHAnsi"/>
          <w:vertAlign w:val="superscript"/>
          <w:lang w:val="en-IN" w:eastAsia="en-IN"/>
        </w:rPr>
        <w:t>th</w:t>
      </w:r>
      <w:r w:rsidRPr="00FA46C4">
        <w:rPr>
          <w:rFonts w:eastAsia="Times New Roman" w:cstheme="minorHAnsi"/>
          <w:lang w:val="en-IN" w:eastAsia="en-IN"/>
        </w:rPr>
        <w:t xml:space="preserve"> June, 2019 as a part of Non-Deal Road show (NDR) organized by JM Financial, the details of which are as under:</w:t>
      </w:r>
    </w:p>
    <w:p w:rsidR="00FA46C4" w:rsidRPr="00FA46C4" w:rsidRDefault="00FA46C4" w:rsidP="00FA46C4">
      <w:pPr>
        <w:spacing w:before="100" w:beforeAutospacing="1" w:after="100" w:afterAutospacing="1" w:line="240" w:lineRule="auto"/>
        <w:contextualSpacing/>
        <w:jc w:val="both"/>
        <w:rPr>
          <w:rFonts w:eastAsia="Times New Roman" w:cstheme="minorHAnsi"/>
          <w:lang w:eastAsia="en-GB"/>
        </w:rPr>
      </w:pPr>
      <w:r w:rsidRPr="00FA46C4">
        <w:rPr>
          <w:rFonts w:eastAsia="Times New Roman" w:cstheme="minorHAnsi"/>
          <w:lang w:val="en-IN" w:eastAsia="en-IN"/>
        </w:rPr>
        <w:t> </w:t>
      </w:r>
    </w:p>
    <w:tbl>
      <w:tblPr>
        <w:tblStyle w:val="TableGrid"/>
        <w:tblW w:w="9198" w:type="dxa"/>
        <w:tblLook w:val="04A0" w:firstRow="1" w:lastRow="0" w:firstColumn="1" w:lastColumn="0" w:noHBand="0" w:noVBand="1"/>
      </w:tblPr>
      <w:tblGrid>
        <w:gridCol w:w="2178"/>
        <w:gridCol w:w="5310"/>
        <w:gridCol w:w="1710"/>
      </w:tblGrid>
      <w:tr w:rsidR="00FA46C4" w:rsidRPr="00FA46C4" w:rsidTr="00C86EC6">
        <w:tc>
          <w:tcPr>
            <w:tcW w:w="2178" w:type="dxa"/>
          </w:tcPr>
          <w:p w:rsidR="00FA46C4" w:rsidRPr="00FA46C4" w:rsidRDefault="00FA46C4" w:rsidP="00FA46C4">
            <w:pPr>
              <w:spacing w:before="100" w:beforeAutospacing="1" w:after="100" w:afterAutospacing="1"/>
              <w:contextualSpacing/>
              <w:jc w:val="center"/>
              <w:rPr>
                <w:rFonts w:eastAsia="Times New Roman" w:cstheme="minorHAnsi"/>
                <w:b/>
                <w:color w:val="313131"/>
                <w:lang w:eastAsia="en-GB"/>
              </w:rPr>
            </w:pPr>
            <w:r w:rsidRPr="00FA46C4">
              <w:rPr>
                <w:rFonts w:eastAsia="Times New Roman" w:cstheme="minorHAnsi"/>
                <w:b/>
                <w:color w:val="313131"/>
                <w:lang w:eastAsia="en-GB"/>
              </w:rPr>
              <w:t>Date</w:t>
            </w:r>
          </w:p>
        </w:tc>
        <w:tc>
          <w:tcPr>
            <w:tcW w:w="5310" w:type="dxa"/>
          </w:tcPr>
          <w:p w:rsidR="00FA46C4" w:rsidRPr="00FA46C4" w:rsidRDefault="00FA46C4" w:rsidP="00FA46C4">
            <w:pPr>
              <w:spacing w:before="100" w:beforeAutospacing="1" w:after="100" w:afterAutospacing="1"/>
              <w:contextualSpacing/>
              <w:jc w:val="center"/>
              <w:rPr>
                <w:rFonts w:eastAsia="Times New Roman" w:cstheme="minorHAnsi"/>
                <w:b/>
                <w:color w:val="313131"/>
                <w:lang w:eastAsia="en-GB"/>
              </w:rPr>
            </w:pPr>
            <w:r w:rsidRPr="00FA46C4">
              <w:rPr>
                <w:rFonts w:eastAsia="Times New Roman" w:cstheme="minorHAnsi"/>
                <w:b/>
                <w:color w:val="313131"/>
                <w:lang w:eastAsia="en-GB"/>
              </w:rPr>
              <w:t>Particulars</w:t>
            </w:r>
          </w:p>
        </w:tc>
        <w:tc>
          <w:tcPr>
            <w:tcW w:w="1710" w:type="dxa"/>
          </w:tcPr>
          <w:p w:rsidR="00FA46C4" w:rsidRPr="00FA46C4" w:rsidRDefault="00FA46C4" w:rsidP="00FA46C4">
            <w:pPr>
              <w:spacing w:before="100" w:beforeAutospacing="1" w:after="100" w:afterAutospacing="1"/>
              <w:contextualSpacing/>
              <w:jc w:val="center"/>
              <w:rPr>
                <w:rFonts w:eastAsia="Times New Roman" w:cstheme="minorHAnsi"/>
                <w:b/>
                <w:color w:val="313131"/>
                <w:lang w:eastAsia="en-GB"/>
              </w:rPr>
            </w:pPr>
            <w:r w:rsidRPr="00FA46C4">
              <w:rPr>
                <w:rFonts w:eastAsia="Times New Roman" w:cstheme="minorHAnsi"/>
                <w:b/>
                <w:color w:val="313131"/>
                <w:lang w:eastAsia="en-GB"/>
              </w:rPr>
              <w:t>Place</w:t>
            </w:r>
          </w:p>
        </w:tc>
      </w:tr>
      <w:tr w:rsidR="00FA46C4" w:rsidRPr="00FA46C4" w:rsidTr="00C86EC6">
        <w:tc>
          <w:tcPr>
            <w:tcW w:w="2178" w:type="dxa"/>
          </w:tcPr>
          <w:p w:rsidR="00FA46C4" w:rsidRPr="00FA46C4" w:rsidRDefault="00FA46C4" w:rsidP="00FA46C4">
            <w:pPr>
              <w:spacing w:before="100" w:beforeAutospacing="1" w:after="100" w:afterAutospacing="1"/>
              <w:contextualSpacing/>
              <w:jc w:val="both"/>
              <w:rPr>
                <w:rFonts w:eastAsia="Times New Roman" w:cstheme="minorHAnsi"/>
                <w:color w:val="313131"/>
                <w:lang w:eastAsia="en-GB"/>
              </w:rPr>
            </w:pPr>
            <w:r w:rsidRPr="00FA46C4">
              <w:rPr>
                <w:rFonts w:eastAsia="Times New Roman" w:cstheme="minorHAnsi"/>
                <w:lang w:val="en-IN" w:eastAsia="en-IN"/>
              </w:rPr>
              <w:t>26</w:t>
            </w:r>
            <w:r w:rsidRPr="00FA46C4">
              <w:rPr>
                <w:rFonts w:eastAsia="Times New Roman" w:cstheme="minorHAnsi"/>
                <w:vertAlign w:val="superscript"/>
                <w:lang w:val="en-IN" w:eastAsia="en-IN"/>
              </w:rPr>
              <w:t>th</w:t>
            </w:r>
            <w:r w:rsidRPr="00FA46C4">
              <w:rPr>
                <w:rFonts w:eastAsia="Times New Roman" w:cstheme="minorHAnsi"/>
                <w:lang w:val="en-IN" w:eastAsia="en-IN"/>
              </w:rPr>
              <w:t xml:space="preserve"> June 2019</w:t>
            </w:r>
          </w:p>
        </w:tc>
        <w:tc>
          <w:tcPr>
            <w:tcW w:w="5310" w:type="dxa"/>
          </w:tcPr>
          <w:p w:rsidR="00FA46C4" w:rsidRPr="00FA46C4" w:rsidRDefault="00FA46C4" w:rsidP="00FA46C4">
            <w:pPr>
              <w:spacing w:before="100" w:beforeAutospacing="1" w:after="100" w:afterAutospacing="1"/>
              <w:contextualSpacing/>
              <w:jc w:val="both"/>
              <w:rPr>
                <w:rFonts w:eastAsia="Times New Roman" w:cstheme="minorHAnsi"/>
                <w:color w:val="313131"/>
                <w:lang w:eastAsia="en-GB"/>
              </w:rPr>
            </w:pPr>
            <w:r w:rsidRPr="00FA46C4">
              <w:rPr>
                <w:rFonts w:eastAsia="Times New Roman" w:cstheme="minorHAnsi"/>
                <w:lang w:val="en-IN" w:eastAsia="en-IN"/>
              </w:rPr>
              <w:t>1.  Reliance Offshore</w:t>
            </w:r>
          </w:p>
        </w:tc>
        <w:tc>
          <w:tcPr>
            <w:tcW w:w="1710" w:type="dxa"/>
          </w:tcPr>
          <w:p w:rsidR="00FA46C4" w:rsidRPr="00FA46C4" w:rsidRDefault="00FA46C4" w:rsidP="00FA46C4">
            <w:pPr>
              <w:spacing w:before="100" w:beforeAutospacing="1" w:after="100" w:afterAutospacing="1"/>
              <w:contextualSpacing/>
              <w:jc w:val="center"/>
              <w:rPr>
                <w:rFonts w:eastAsia="Times New Roman" w:cstheme="minorHAnsi"/>
                <w:color w:val="313131"/>
                <w:lang w:eastAsia="en-GB"/>
              </w:rPr>
            </w:pPr>
            <w:r w:rsidRPr="00FA46C4">
              <w:rPr>
                <w:rFonts w:eastAsia="Times New Roman" w:cstheme="minorHAnsi"/>
                <w:color w:val="313131"/>
                <w:lang w:eastAsia="en-GB"/>
              </w:rPr>
              <w:t>Singapore</w:t>
            </w:r>
          </w:p>
        </w:tc>
      </w:tr>
      <w:tr w:rsidR="00FA46C4" w:rsidRPr="00FA46C4" w:rsidTr="00C86EC6">
        <w:tc>
          <w:tcPr>
            <w:tcW w:w="2178" w:type="dxa"/>
            <w:vAlign w:val="center"/>
          </w:tcPr>
          <w:p w:rsidR="00FA46C4" w:rsidRPr="00FA46C4" w:rsidRDefault="00FA46C4" w:rsidP="00FA46C4">
            <w:pPr>
              <w:spacing w:before="100" w:beforeAutospacing="1" w:after="100" w:afterAutospacing="1"/>
              <w:contextualSpacing/>
              <w:rPr>
                <w:rFonts w:eastAsia="Times New Roman" w:cstheme="minorHAnsi"/>
                <w:lang w:val="en-IN" w:eastAsia="en-IN"/>
              </w:rPr>
            </w:pPr>
            <w:r w:rsidRPr="00FA46C4">
              <w:rPr>
                <w:rFonts w:eastAsia="Times New Roman" w:cstheme="minorHAnsi"/>
                <w:lang w:val="en-IN" w:eastAsia="en-IN"/>
              </w:rPr>
              <w:t>27</w:t>
            </w:r>
            <w:r w:rsidRPr="00FA46C4">
              <w:rPr>
                <w:rFonts w:eastAsia="Times New Roman" w:cstheme="minorHAnsi"/>
                <w:vertAlign w:val="superscript"/>
                <w:lang w:val="en-IN" w:eastAsia="en-IN"/>
              </w:rPr>
              <w:t>th</w:t>
            </w:r>
            <w:r w:rsidRPr="00FA46C4">
              <w:rPr>
                <w:rFonts w:eastAsia="Times New Roman" w:cstheme="minorHAnsi"/>
                <w:lang w:val="en-IN" w:eastAsia="en-IN"/>
              </w:rPr>
              <w:t xml:space="preserve"> June 2019</w:t>
            </w:r>
          </w:p>
        </w:tc>
        <w:tc>
          <w:tcPr>
            <w:tcW w:w="5310" w:type="dxa"/>
            <w:vAlign w:val="center"/>
          </w:tcPr>
          <w:p w:rsidR="00FA46C4" w:rsidRPr="00FA46C4" w:rsidRDefault="00FA46C4" w:rsidP="00FA46C4">
            <w:pPr>
              <w:spacing w:before="100" w:beforeAutospacing="1" w:after="100" w:afterAutospacing="1"/>
              <w:contextualSpacing/>
              <w:rPr>
                <w:rFonts w:eastAsia="Times New Roman" w:cstheme="minorHAnsi"/>
                <w:lang w:val="en-IN" w:eastAsia="en-IN"/>
              </w:rPr>
            </w:pPr>
            <w:r w:rsidRPr="00FA46C4">
              <w:rPr>
                <w:rFonts w:eastAsia="Times New Roman" w:cstheme="minorHAnsi"/>
                <w:lang w:val="en-IN" w:eastAsia="en-IN"/>
              </w:rPr>
              <w:t>1.  Templeton Asset Management</w:t>
            </w:r>
          </w:p>
        </w:tc>
        <w:tc>
          <w:tcPr>
            <w:tcW w:w="1710" w:type="dxa"/>
            <w:vMerge w:val="restart"/>
            <w:vAlign w:val="center"/>
          </w:tcPr>
          <w:p w:rsidR="00FA46C4" w:rsidRPr="00FA46C4" w:rsidRDefault="00FA46C4" w:rsidP="00FA46C4">
            <w:pPr>
              <w:spacing w:before="100" w:beforeAutospacing="1" w:after="100" w:afterAutospacing="1"/>
              <w:contextualSpacing/>
              <w:jc w:val="center"/>
              <w:rPr>
                <w:rFonts w:eastAsia="Times New Roman" w:cstheme="minorHAnsi"/>
                <w:color w:val="313131"/>
                <w:lang w:eastAsia="en-GB"/>
              </w:rPr>
            </w:pPr>
            <w:r w:rsidRPr="00FA46C4">
              <w:rPr>
                <w:rFonts w:eastAsia="Times New Roman" w:cstheme="minorHAnsi"/>
                <w:color w:val="313131"/>
                <w:lang w:eastAsia="en-GB"/>
              </w:rPr>
              <w:t>Singapore</w:t>
            </w:r>
          </w:p>
        </w:tc>
      </w:tr>
      <w:tr w:rsidR="00FA46C4" w:rsidRPr="00FA46C4" w:rsidTr="00C86EC6">
        <w:tc>
          <w:tcPr>
            <w:tcW w:w="2178" w:type="dxa"/>
            <w:vAlign w:val="center"/>
          </w:tcPr>
          <w:p w:rsidR="00FA46C4" w:rsidRPr="00FA46C4" w:rsidRDefault="00FA46C4" w:rsidP="00FA46C4">
            <w:pPr>
              <w:spacing w:before="100" w:beforeAutospacing="1" w:after="100" w:afterAutospacing="1"/>
              <w:contextualSpacing/>
              <w:rPr>
                <w:rFonts w:eastAsia="Times New Roman" w:cstheme="minorHAnsi"/>
                <w:lang w:val="en-IN" w:eastAsia="en-IN"/>
              </w:rPr>
            </w:pPr>
          </w:p>
        </w:tc>
        <w:tc>
          <w:tcPr>
            <w:tcW w:w="5310" w:type="dxa"/>
            <w:vAlign w:val="center"/>
          </w:tcPr>
          <w:p w:rsidR="00FA46C4" w:rsidRPr="00FA46C4" w:rsidRDefault="00FA46C4" w:rsidP="00FA46C4">
            <w:pPr>
              <w:spacing w:before="100" w:beforeAutospacing="1" w:after="100" w:afterAutospacing="1"/>
              <w:contextualSpacing/>
              <w:rPr>
                <w:rFonts w:eastAsia="Times New Roman" w:cstheme="minorHAnsi"/>
                <w:lang w:val="en-IN" w:eastAsia="en-IN"/>
              </w:rPr>
            </w:pPr>
            <w:r w:rsidRPr="00FA46C4">
              <w:rPr>
                <w:rFonts w:eastAsia="Times New Roman" w:cstheme="minorHAnsi"/>
                <w:lang w:val="en-IN" w:eastAsia="en-IN"/>
              </w:rPr>
              <w:t>2.  Wellington Management Company , LLP</w:t>
            </w:r>
          </w:p>
        </w:tc>
        <w:tc>
          <w:tcPr>
            <w:tcW w:w="1710" w:type="dxa"/>
            <w:vMerge/>
          </w:tcPr>
          <w:p w:rsidR="00FA46C4" w:rsidRPr="00FA46C4" w:rsidRDefault="00FA46C4" w:rsidP="00FA46C4">
            <w:pPr>
              <w:spacing w:before="100" w:beforeAutospacing="1" w:after="100" w:afterAutospacing="1"/>
              <w:contextualSpacing/>
              <w:jc w:val="center"/>
              <w:rPr>
                <w:rFonts w:eastAsia="Times New Roman" w:cstheme="minorHAnsi"/>
                <w:color w:val="313131"/>
                <w:lang w:eastAsia="en-GB"/>
              </w:rPr>
            </w:pPr>
          </w:p>
        </w:tc>
      </w:tr>
      <w:tr w:rsidR="00FA46C4" w:rsidRPr="00FA46C4" w:rsidTr="00C86EC6">
        <w:tc>
          <w:tcPr>
            <w:tcW w:w="2178" w:type="dxa"/>
            <w:vAlign w:val="center"/>
          </w:tcPr>
          <w:p w:rsidR="00FA46C4" w:rsidRPr="00FA46C4" w:rsidRDefault="00FA46C4" w:rsidP="00FA46C4">
            <w:pPr>
              <w:spacing w:before="100" w:beforeAutospacing="1" w:after="100" w:afterAutospacing="1"/>
              <w:contextualSpacing/>
              <w:rPr>
                <w:rFonts w:eastAsia="Times New Roman" w:cstheme="minorHAnsi"/>
                <w:lang w:val="en-IN" w:eastAsia="en-IN"/>
              </w:rPr>
            </w:pPr>
          </w:p>
        </w:tc>
        <w:tc>
          <w:tcPr>
            <w:tcW w:w="5310" w:type="dxa"/>
            <w:vAlign w:val="center"/>
          </w:tcPr>
          <w:p w:rsidR="00FA46C4" w:rsidRPr="00FA46C4" w:rsidRDefault="00FA46C4" w:rsidP="00FA46C4">
            <w:pPr>
              <w:spacing w:before="100" w:beforeAutospacing="1" w:after="100" w:afterAutospacing="1"/>
              <w:contextualSpacing/>
              <w:rPr>
                <w:rFonts w:eastAsia="Times New Roman" w:cstheme="minorHAnsi"/>
                <w:lang w:val="en-IN" w:eastAsia="en-IN"/>
              </w:rPr>
            </w:pPr>
            <w:r w:rsidRPr="00FA46C4">
              <w:rPr>
                <w:rFonts w:eastAsia="Times New Roman" w:cstheme="minorHAnsi"/>
                <w:lang w:val="en-IN" w:eastAsia="en-IN"/>
              </w:rPr>
              <w:t xml:space="preserve">3.  </w:t>
            </w:r>
            <w:proofErr w:type="spellStart"/>
            <w:r w:rsidRPr="00FA46C4">
              <w:rPr>
                <w:rFonts w:eastAsia="Times New Roman" w:cstheme="minorHAnsi"/>
                <w:lang w:val="en-IN" w:eastAsia="en-IN"/>
              </w:rPr>
              <w:t>Kotak</w:t>
            </w:r>
            <w:proofErr w:type="spellEnd"/>
            <w:r w:rsidRPr="00FA46C4">
              <w:rPr>
                <w:rFonts w:eastAsia="Times New Roman" w:cstheme="minorHAnsi"/>
                <w:lang w:val="en-IN" w:eastAsia="en-IN"/>
              </w:rPr>
              <w:t xml:space="preserve"> offshore</w:t>
            </w:r>
          </w:p>
        </w:tc>
        <w:tc>
          <w:tcPr>
            <w:tcW w:w="1710" w:type="dxa"/>
            <w:vMerge/>
          </w:tcPr>
          <w:p w:rsidR="00FA46C4" w:rsidRPr="00FA46C4" w:rsidRDefault="00FA46C4" w:rsidP="00FA46C4">
            <w:pPr>
              <w:spacing w:before="100" w:beforeAutospacing="1" w:after="100" w:afterAutospacing="1"/>
              <w:contextualSpacing/>
              <w:jc w:val="center"/>
              <w:rPr>
                <w:rFonts w:eastAsia="Times New Roman" w:cstheme="minorHAnsi"/>
                <w:color w:val="313131"/>
                <w:lang w:eastAsia="en-GB"/>
              </w:rPr>
            </w:pPr>
          </w:p>
        </w:tc>
      </w:tr>
      <w:tr w:rsidR="00FA46C4" w:rsidRPr="00FA46C4" w:rsidTr="00C86EC6">
        <w:tc>
          <w:tcPr>
            <w:tcW w:w="2178" w:type="dxa"/>
            <w:vAlign w:val="center"/>
          </w:tcPr>
          <w:p w:rsidR="00FA46C4" w:rsidRPr="00FA46C4" w:rsidRDefault="00FA46C4" w:rsidP="00FA46C4">
            <w:pPr>
              <w:spacing w:before="100" w:beforeAutospacing="1" w:after="100" w:afterAutospacing="1"/>
              <w:contextualSpacing/>
              <w:rPr>
                <w:rFonts w:eastAsia="Times New Roman" w:cstheme="minorHAnsi"/>
                <w:lang w:val="en-IN" w:eastAsia="en-IN"/>
              </w:rPr>
            </w:pPr>
            <w:r w:rsidRPr="00FA46C4">
              <w:rPr>
                <w:rFonts w:eastAsia="Times New Roman" w:cstheme="minorHAnsi"/>
                <w:lang w:val="en-IN" w:eastAsia="en-IN"/>
              </w:rPr>
              <w:t>28</w:t>
            </w:r>
            <w:r w:rsidRPr="00FA46C4">
              <w:rPr>
                <w:rFonts w:eastAsia="Times New Roman" w:cstheme="minorHAnsi"/>
                <w:vertAlign w:val="superscript"/>
                <w:lang w:val="en-IN" w:eastAsia="en-IN"/>
              </w:rPr>
              <w:t>th</w:t>
            </w:r>
            <w:r w:rsidRPr="00FA46C4">
              <w:rPr>
                <w:rFonts w:eastAsia="Times New Roman" w:cstheme="minorHAnsi"/>
                <w:lang w:val="en-IN" w:eastAsia="en-IN"/>
              </w:rPr>
              <w:t xml:space="preserve"> June 2019</w:t>
            </w:r>
          </w:p>
        </w:tc>
        <w:tc>
          <w:tcPr>
            <w:tcW w:w="5310" w:type="dxa"/>
            <w:vAlign w:val="center"/>
          </w:tcPr>
          <w:p w:rsidR="00FA46C4" w:rsidRPr="00FA46C4" w:rsidRDefault="00FA46C4" w:rsidP="00FA46C4">
            <w:pPr>
              <w:spacing w:before="100" w:beforeAutospacing="1" w:after="100" w:afterAutospacing="1"/>
              <w:contextualSpacing/>
              <w:rPr>
                <w:rFonts w:eastAsia="Times New Roman" w:cstheme="minorHAnsi"/>
                <w:lang w:val="en-IN" w:eastAsia="en-IN"/>
              </w:rPr>
            </w:pPr>
            <w:r w:rsidRPr="00FA46C4">
              <w:rPr>
                <w:rFonts w:eastAsia="Times New Roman" w:cstheme="minorHAnsi"/>
                <w:lang w:val="en-IN" w:eastAsia="en-IN"/>
              </w:rPr>
              <w:t>1.  Davidson Kempner</w:t>
            </w:r>
          </w:p>
        </w:tc>
        <w:tc>
          <w:tcPr>
            <w:tcW w:w="1710" w:type="dxa"/>
            <w:vMerge w:val="restart"/>
            <w:vAlign w:val="center"/>
          </w:tcPr>
          <w:p w:rsidR="00FA46C4" w:rsidRPr="00FA46C4" w:rsidRDefault="00FA46C4" w:rsidP="00FA46C4">
            <w:pPr>
              <w:spacing w:before="100" w:beforeAutospacing="1" w:after="100" w:afterAutospacing="1"/>
              <w:contextualSpacing/>
              <w:jc w:val="center"/>
              <w:rPr>
                <w:rFonts w:eastAsia="Times New Roman" w:cstheme="minorHAnsi"/>
                <w:color w:val="313131"/>
                <w:lang w:eastAsia="en-GB"/>
              </w:rPr>
            </w:pPr>
            <w:r w:rsidRPr="00FA46C4">
              <w:rPr>
                <w:rFonts w:eastAsia="Times New Roman" w:cstheme="minorHAnsi"/>
                <w:color w:val="313131"/>
                <w:lang w:eastAsia="en-GB"/>
              </w:rPr>
              <w:t>Hong Kong</w:t>
            </w:r>
          </w:p>
        </w:tc>
      </w:tr>
      <w:tr w:rsidR="00FA46C4" w:rsidRPr="00FA46C4" w:rsidTr="00C86EC6">
        <w:tc>
          <w:tcPr>
            <w:tcW w:w="2178" w:type="dxa"/>
            <w:vAlign w:val="center"/>
          </w:tcPr>
          <w:p w:rsidR="00FA46C4" w:rsidRPr="00FA46C4" w:rsidRDefault="00FA46C4" w:rsidP="00FA46C4">
            <w:pPr>
              <w:spacing w:before="100" w:beforeAutospacing="1" w:after="100" w:afterAutospacing="1"/>
              <w:contextualSpacing/>
              <w:rPr>
                <w:rFonts w:eastAsia="Times New Roman" w:cstheme="minorHAnsi"/>
                <w:lang w:val="en-IN" w:eastAsia="en-IN"/>
              </w:rPr>
            </w:pPr>
          </w:p>
        </w:tc>
        <w:tc>
          <w:tcPr>
            <w:tcW w:w="5310" w:type="dxa"/>
            <w:vAlign w:val="center"/>
          </w:tcPr>
          <w:p w:rsidR="00FA46C4" w:rsidRPr="00FA46C4" w:rsidRDefault="00FA46C4" w:rsidP="00FA46C4">
            <w:pPr>
              <w:spacing w:before="100" w:beforeAutospacing="1" w:after="100" w:afterAutospacing="1"/>
              <w:contextualSpacing/>
              <w:rPr>
                <w:rFonts w:eastAsia="Times New Roman" w:cstheme="minorHAnsi"/>
                <w:lang w:val="en-IN" w:eastAsia="en-IN"/>
              </w:rPr>
            </w:pPr>
            <w:r w:rsidRPr="00FA46C4">
              <w:rPr>
                <w:rFonts w:eastAsia="Times New Roman" w:cstheme="minorHAnsi"/>
                <w:lang w:val="en-IN" w:eastAsia="en-IN"/>
              </w:rPr>
              <w:t>2.  AIA Investment Management</w:t>
            </w:r>
          </w:p>
        </w:tc>
        <w:tc>
          <w:tcPr>
            <w:tcW w:w="1710" w:type="dxa"/>
            <w:vMerge/>
            <w:vAlign w:val="center"/>
          </w:tcPr>
          <w:p w:rsidR="00FA46C4" w:rsidRPr="00FA46C4" w:rsidRDefault="00FA46C4" w:rsidP="00FA46C4">
            <w:pPr>
              <w:spacing w:before="100" w:beforeAutospacing="1" w:after="100" w:afterAutospacing="1"/>
              <w:contextualSpacing/>
              <w:jc w:val="center"/>
              <w:rPr>
                <w:rFonts w:eastAsia="Times New Roman" w:cstheme="minorHAnsi"/>
                <w:color w:val="313131"/>
                <w:lang w:eastAsia="en-GB"/>
              </w:rPr>
            </w:pPr>
          </w:p>
        </w:tc>
      </w:tr>
      <w:tr w:rsidR="00FA46C4" w:rsidRPr="00FA46C4" w:rsidTr="00C86EC6">
        <w:tc>
          <w:tcPr>
            <w:tcW w:w="2178" w:type="dxa"/>
            <w:vAlign w:val="center"/>
          </w:tcPr>
          <w:p w:rsidR="00FA46C4" w:rsidRPr="00FA46C4" w:rsidRDefault="00FA46C4" w:rsidP="00FA46C4">
            <w:pPr>
              <w:spacing w:before="100" w:beforeAutospacing="1" w:after="100" w:afterAutospacing="1"/>
              <w:contextualSpacing/>
              <w:rPr>
                <w:rFonts w:eastAsia="Times New Roman" w:cstheme="minorHAnsi"/>
                <w:lang w:val="en-IN" w:eastAsia="en-IN"/>
              </w:rPr>
            </w:pPr>
          </w:p>
        </w:tc>
        <w:tc>
          <w:tcPr>
            <w:tcW w:w="5310" w:type="dxa"/>
            <w:vAlign w:val="center"/>
          </w:tcPr>
          <w:p w:rsidR="00FA46C4" w:rsidRPr="00FA46C4" w:rsidRDefault="00FA46C4" w:rsidP="00FA46C4">
            <w:pPr>
              <w:spacing w:before="100" w:beforeAutospacing="1" w:after="100" w:afterAutospacing="1"/>
              <w:contextualSpacing/>
              <w:rPr>
                <w:rFonts w:eastAsia="Times New Roman" w:cstheme="minorHAnsi"/>
                <w:lang w:val="en-IN" w:eastAsia="en-IN"/>
              </w:rPr>
            </w:pPr>
            <w:r w:rsidRPr="00FA46C4">
              <w:rPr>
                <w:rFonts w:eastAsia="Times New Roman" w:cstheme="minorHAnsi"/>
                <w:lang w:val="en-IN" w:eastAsia="en-IN"/>
              </w:rPr>
              <w:t xml:space="preserve">3.  </w:t>
            </w:r>
            <w:proofErr w:type="spellStart"/>
            <w:r w:rsidRPr="00FA46C4">
              <w:rPr>
                <w:rFonts w:eastAsia="Times New Roman" w:cstheme="minorHAnsi"/>
                <w:lang w:val="en-IN" w:eastAsia="en-IN"/>
              </w:rPr>
              <w:t>Mirae</w:t>
            </w:r>
            <w:proofErr w:type="spellEnd"/>
            <w:r w:rsidRPr="00FA46C4">
              <w:rPr>
                <w:rFonts w:eastAsia="Times New Roman" w:cstheme="minorHAnsi"/>
                <w:lang w:val="en-IN" w:eastAsia="en-IN"/>
              </w:rPr>
              <w:t xml:space="preserve"> Assets</w:t>
            </w:r>
          </w:p>
        </w:tc>
        <w:tc>
          <w:tcPr>
            <w:tcW w:w="1710" w:type="dxa"/>
            <w:vMerge/>
            <w:vAlign w:val="center"/>
          </w:tcPr>
          <w:p w:rsidR="00FA46C4" w:rsidRPr="00FA46C4" w:rsidRDefault="00FA46C4" w:rsidP="00FA46C4">
            <w:pPr>
              <w:spacing w:before="100" w:beforeAutospacing="1" w:after="100" w:afterAutospacing="1"/>
              <w:contextualSpacing/>
              <w:jc w:val="center"/>
              <w:rPr>
                <w:rFonts w:eastAsia="Times New Roman" w:cstheme="minorHAnsi"/>
                <w:color w:val="313131"/>
                <w:lang w:eastAsia="en-GB"/>
              </w:rPr>
            </w:pPr>
          </w:p>
        </w:tc>
      </w:tr>
    </w:tbl>
    <w:p w:rsidR="00FA46C4" w:rsidRPr="00FA46C4" w:rsidRDefault="00FA46C4" w:rsidP="00FA46C4">
      <w:pPr>
        <w:spacing w:before="100" w:beforeAutospacing="1" w:after="100" w:afterAutospacing="1" w:line="240" w:lineRule="auto"/>
        <w:contextualSpacing/>
        <w:rPr>
          <w:rFonts w:eastAsia="Times New Roman" w:cstheme="minorHAnsi"/>
          <w:lang w:val="en-IN" w:eastAsia="en-IN"/>
        </w:rPr>
      </w:pPr>
    </w:p>
    <w:p w:rsidR="00FA46C4" w:rsidRPr="00FA46C4" w:rsidRDefault="00FA46C4" w:rsidP="00FA46C4">
      <w:pPr>
        <w:spacing w:before="100" w:beforeAutospacing="1" w:after="100" w:afterAutospacing="1" w:line="240" w:lineRule="auto"/>
        <w:contextualSpacing/>
        <w:jc w:val="both"/>
        <w:rPr>
          <w:rFonts w:eastAsia="Times New Roman" w:cstheme="minorHAnsi"/>
          <w:lang w:val="en-IN" w:eastAsia="en-IN"/>
        </w:rPr>
      </w:pPr>
      <w:r w:rsidRPr="00FA46C4">
        <w:rPr>
          <w:rFonts w:eastAsia="Times New Roman" w:cstheme="minorHAnsi"/>
          <w:lang w:val="en-IN" w:eastAsia="en-IN"/>
        </w:rPr>
        <w:t>The Investor Presentation - May 2019 is already in public domain and is available / uploaded on the Company's website and Stock Exchanges. The said presentation would be used during the meetings.</w:t>
      </w:r>
    </w:p>
    <w:p w:rsidR="00FA46C4" w:rsidRPr="00FA46C4" w:rsidRDefault="00FA46C4" w:rsidP="00FA46C4">
      <w:pPr>
        <w:spacing w:before="100" w:beforeAutospacing="1" w:after="100" w:afterAutospacing="1" w:line="240" w:lineRule="auto"/>
        <w:contextualSpacing/>
        <w:rPr>
          <w:rFonts w:eastAsia="Times New Roman" w:cstheme="minorHAnsi"/>
          <w:lang w:val="en-IN" w:eastAsia="en-IN"/>
        </w:rPr>
      </w:pPr>
      <w:r w:rsidRPr="00FA46C4">
        <w:rPr>
          <w:rFonts w:eastAsia="Times New Roman" w:cstheme="minorHAnsi"/>
          <w:lang w:val="en-IN" w:eastAsia="en-IN"/>
        </w:rPr>
        <w:t> </w:t>
      </w:r>
    </w:p>
    <w:p w:rsidR="00E92DC8" w:rsidRPr="00FA46C4" w:rsidRDefault="00E92DC8" w:rsidP="00340089">
      <w:pPr>
        <w:spacing w:before="100" w:beforeAutospacing="1" w:after="100" w:afterAutospacing="1" w:line="240" w:lineRule="auto"/>
        <w:contextualSpacing/>
        <w:jc w:val="both"/>
        <w:rPr>
          <w:rFonts w:eastAsia="Times New Roman" w:cstheme="minorHAnsi"/>
          <w:b/>
          <w:color w:val="313131"/>
          <w:lang w:eastAsia="en-GB"/>
        </w:rPr>
      </w:pPr>
      <w:r w:rsidRPr="00FA46C4">
        <w:rPr>
          <w:rFonts w:eastAsia="Times New Roman" w:cstheme="minorHAnsi"/>
          <w:b/>
          <w:color w:val="313131"/>
          <w:lang w:eastAsia="en-GB"/>
        </w:rPr>
        <w:t xml:space="preserve">Note: Changes may happen due to exigencies on the part of </w:t>
      </w:r>
      <w:r w:rsidR="0045659B" w:rsidRPr="00FA46C4">
        <w:rPr>
          <w:rFonts w:eastAsia="Times New Roman" w:cstheme="minorHAnsi"/>
          <w:b/>
          <w:color w:val="313131"/>
          <w:lang w:eastAsia="en-GB"/>
        </w:rPr>
        <w:t xml:space="preserve">organisers / </w:t>
      </w:r>
      <w:r w:rsidRPr="00FA46C4">
        <w:rPr>
          <w:rFonts w:eastAsia="Times New Roman" w:cstheme="minorHAnsi"/>
          <w:b/>
          <w:color w:val="313131"/>
          <w:lang w:eastAsia="en-GB"/>
        </w:rPr>
        <w:t xml:space="preserve">investors / </w:t>
      </w:r>
      <w:r w:rsidR="0045659B" w:rsidRPr="00FA46C4">
        <w:rPr>
          <w:rFonts w:eastAsia="Times New Roman" w:cstheme="minorHAnsi"/>
          <w:b/>
          <w:color w:val="313131"/>
          <w:lang w:eastAsia="en-GB"/>
        </w:rPr>
        <w:t>the C</w:t>
      </w:r>
      <w:r w:rsidRPr="00FA46C4">
        <w:rPr>
          <w:rFonts w:eastAsia="Times New Roman" w:cstheme="minorHAnsi"/>
          <w:b/>
          <w:color w:val="313131"/>
          <w:lang w:eastAsia="en-GB"/>
        </w:rPr>
        <w:t>ompany.</w:t>
      </w:r>
    </w:p>
    <w:p w:rsidR="009E1CA2" w:rsidRPr="00FA46C4" w:rsidRDefault="00CC4E9C" w:rsidP="00FA46C4">
      <w:pPr>
        <w:spacing w:line="240" w:lineRule="auto"/>
        <w:contextualSpacing/>
        <w:rPr>
          <w:rFonts w:cstheme="minorHAnsi"/>
        </w:rPr>
      </w:pPr>
    </w:p>
    <w:p w:rsidR="00E92DC8" w:rsidRPr="00FA46C4" w:rsidRDefault="00E92DC8" w:rsidP="00FA46C4">
      <w:pPr>
        <w:spacing w:line="240" w:lineRule="auto"/>
        <w:contextualSpacing/>
        <w:rPr>
          <w:rFonts w:cstheme="minorHAnsi"/>
        </w:rPr>
      </w:pPr>
      <w:bookmarkStart w:id="0" w:name="_GoBack"/>
      <w:bookmarkEnd w:id="0"/>
      <w:r w:rsidRPr="00FA46C4">
        <w:rPr>
          <w:rFonts w:cstheme="minorHAnsi"/>
        </w:rPr>
        <w:t>Kindly take the same on record.</w:t>
      </w:r>
    </w:p>
    <w:p w:rsidR="00E92DC8" w:rsidRPr="00FA46C4" w:rsidRDefault="00E92DC8" w:rsidP="00FA46C4">
      <w:pPr>
        <w:spacing w:line="240" w:lineRule="auto"/>
        <w:contextualSpacing/>
        <w:rPr>
          <w:rFonts w:cstheme="minorHAnsi"/>
        </w:rPr>
      </w:pPr>
    </w:p>
    <w:sectPr w:rsidR="00E92DC8" w:rsidRPr="00FA46C4" w:rsidSect="00157836">
      <w:pgSz w:w="11906" w:h="16838"/>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F1D84"/>
    <w:multiLevelType w:val="multilevel"/>
    <w:tmpl w:val="35B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C8"/>
    <w:rsid w:val="00004420"/>
    <w:rsid w:val="000A1F21"/>
    <w:rsid w:val="000E32E0"/>
    <w:rsid w:val="00113F18"/>
    <w:rsid w:val="00157836"/>
    <w:rsid w:val="00182A3C"/>
    <w:rsid w:val="00186134"/>
    <w:rsid w:val="002C106D"/>
    <w:rsid w:val="002C5C7F"/>
    <w:rsid w:val="0033473D"/>
    <w:rsid w:val="00340089"/>
    <w:rsid w:val="003522E9"/>
    <w:rsid w:val="003C54CD"/>
    <w:rsid w:val="003E0EA4"/>
    <w:rsid w:val="0045659B"/>
    <w:rsid w:val="00510FC9"/>
    <w:rsid w:val="005518D9"/>
    <w:rsid w:val="00583D62"/>
    <w:rsid w:val="00605EB6"/>
    <w:rsid w:val="007711EF"/>
    <w:rsid w:val="007A6ADB"/>
    <w:rsid w:val="007E2600"/>
    <w:rsid w:val="007F2CF0"/>
    <w:rsid w:val="00810A35"/>
    <w:rsid w:val="008B5295"/>
    <w:rsid w:val="00911428"/>
    <w:rsid w:val="00950F5B"/>
    <w:rsid w:val="00A47A7C"/>
    <w:rsid w:val="00AA0866"/>
    <w:rsid w:val="00AD1D51"/>
    <w:rsid w:val="00AF144B"/>
    <w:rsid w:val="00B4694F"/>
    <w:rsid w:val="00BD74B5"/>
    <w:rsid w:val="00C17AE6"/>
    <w:rsid w:val="00C22AF7"/>
    <w:rsid w:val="00CC4E9C"/>
    <w:rsid w:val="00E859BC"/>
    <w:rsid w:val="00E92DC8"/>
    <w:rsid w:val="00F03DCA"/>
    <w:rsid w:val="00F50C3D"/>
    <w:rsid w:val="00F62358"/>
    <w:rsid w:val="00FA46C4"/>
    <w:rsid w:val="00FC2A6B"/>
    <w:rsid w:val="00FF16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3846321949705410804gmail-il">
    <w:name w:val="gmail-m_3846321949705410804gmail-il"/>
    <w:basedOn w:val="DefaultParagraphFont"/>
    <w:rsid w:val="00E92DC8"/>
  </w:style>
  <w:style w:type="paragraph" w:customStyle="1" w:styleId="Standard">
    <w:name w:val="Standard"/>
    <w:rsid w:val="00E92DC8"/>
    <w:pPr>
      <w:suppressAutoHyphens/>
      <w:autoSpaceDN w:val="0"/>
    </w:pPr>
    <w:rPr>
      <w:rFonts w:ascii="Calibri" w:eastAsia="Calibri" w:hAnsi="Calibri" w:cs="Times New Roman"/>
      <w:kern w:val="3"/>
      <w:lang w:val="en-US"/>
    </w:rPr>
  </w:style>
  <w:style w:type="table" w:styleId="TableGrid">
    <w:name w:val="Table Grid"/>
    <w:basedOn w:val="TableNormal"/>
    <w:uiPriority w:val="59"/>
    <w:rsid w:val="003E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3846321949705410804gmail-il">
    <w:name w:val="gmail-m_3846321949705410804gmail-il"/>
    <w:basedOn w:val="DefaultParagraphFont"/>
    <w:rsid w:val="00E92DC8"/>
  </w:style>
  <w:style w:type="paragraph" w:customStyle="1" w:styleId="Standard">
    <w:name w:val="Standard"/>
    <w:rsid w:val="00E92DC8"/>
    <w:pPr>
      <w:suppressAutoHyphens/>
      <w:autoSpaceDN w:val="0"/>
    </w:pPr>
    <w:rPr>
      <w:rFonts w:ascii="Calibri" w:eastAsia="Calibri" w:hAnsi="Calibri" w:cs="Times New Roman"/>
      <w:kern w:val="3"/>
      <w:lang w:val="en-US"/>
    </w:rPr>
  </w:style>
  <w:style w:type="table" w:styleId="TableGrid">
    <w:name w:val="Table Grid"/>
    <w:basedOn w:val="TableNormal"/>
    <w:uiPriority w:val="59"/>
    <w:rsid w:val="003E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1608">
      <w:bodyDiv w:val="1"/>
      <w:marLeft w:val="0"/>
      <w:marRight w:val="0"/>
      <w:marTop w:val="0"/>
      <w:marBottom w:val="0"/>
      <w:divBdr>
        <w:top w:val="none" w:sz="0" w:space="0" w:color="auto"/>
        <w:left w:val="none" w:sz="0" w:space="0" w:color="auto"/>
        <w:bottom w:val="none" w:sz="0" w:space="0" w:color="auto"/>
        <w:right w:val="none" w:sz="0" w:space="0" w:color="auto"/>
      </w:divBdr>
    </w:div>
    <w:div w:id="806320821">
      <w:bodyDiv w:val="1"/>
      <w:marLeft w:val="0"/>
      <w:marRight w:val="0"/>
      <w:marTop w:val="0"/>
      <w:marBottom w:val="0"/>
      <w:divBdr>
        <w:top w:val="none" w:sz="0" w:space="0" w:color="auto"/>
        <w:left w:val="none" w:sz="0" w:space="0" w:color="auto"/>
        <w:bottom w:val="none" w:sz="0" w:space="0" w:color="auto"/>
        <w:right w:val="none" w:sz="0" w:space="0" w:color="auto"/>
      </w:divBdr>
    </w:div>
    <w:div w:id="997075208">
      <w:bodyDiv w:val="1"/>
      <w:marLeft w:val="0"/>
      <w:marRight w:val="0"/>
      <w:marTop w:val="0"/>
      <w:marBottom w:val="0"/>
      <w:divBdr>
        <w:top w:val="none" w:sz="0" w:space="0" w:color="auto"/>
        <w:left w:val="none" w:sz="0" w:space="0" w:color="auto"/>
        <w:bottom w:val="none" w:sz="0" w:space="0" w:color="auto"/>
        <w:right w:val="none" w:sz="0" w:space="0" w:color="auto"/>
      </w:divBdr>
      <w:divsChild>
        <w:div w:id="2145268598">
          <w:marLeft w:val="0"/>
          <w:marRight w:val="0"/>
          <w:marTop w:val="0"/>
          <w:marBottom w:val="0"/>
          <w:divBdr>
            <w:top w:val="none" w:sz="0" w:space="0" w:color="auto"/>
            <w:left w:val="none" w:sz="0" w:space="0" w:color="auto"/>
            <w:bottom w:val="none" w:sz="0" w:space="0" w:color="auto"/>
            <w:right w:val="none" w:sz="0" w:space="0" w:color="auto"/>
          </w:divBdr>
        </w:div>
        <w:div w:id="2041079560">
          <w:marLeft w:val="0"/>
          <w:marRight w:val="0"/>
          <w:marTop w:val="0"/>
          <w:marBottom w:val="0"/>
          <w:divBdr>
            <w:top w:val="none" w:sz="0" w:space="0" w:color="auto"/>
            <w:left w:val="none" w:sz="0" w:space="0" w:color="auto"/>
            <w:bottom w:val="none" w:sz="0" w:space="0" w:color="auto"/>
            <w:right w:val="none" w:sz="0" w:space="0" w:color="auto"/>
          </w:divBdr>
          <w:divsChild>
            <w:div w:id="1648364343">
              <w:marLeft w:val="0"/>
              <w:marRight w:val="0"/>
              <w:marTop w:val="0"/>
              <w:marBottom w:val="0"/>
              <w:divBdr>
                <w:top w:val="none" w:sz="0" w:space="0" w:color="auto"/>
                <w:left w:val="none" w:sz="0" w:space="0" w:color="auto"/>
                <w:bottom w:val="none" w:sz="0" w:space="0" w:color="auto"/>
                <w:right w:val="none" w:sz="0" w:space="0" w:color="auto"/>
              </w:divBdr>
            </w:div>
            <w:div w:id="10206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5124">
      <w:bodyDiv w:val="1"/>
      <w:marLeft w:val="0"/>
      <w:marRight w:val="0"/>
      <w:marTop w:val="0"/>
      <w:marBottom w:val="0"/>
      <w:divBdr>
        <w:top w:val="none" w:sz="0" w:space="0" w:color="auto"/>
        <w:left w:val="none" w:sz="0" w:space="0" w:color="auto"/>
        <w:bottom w:val="none" w:sz="0" w:space="0" w:color="auto"/>
        <w:right w:val="none" w:sz="0" w:space="0" w:color="auto"/>
      </w:divBdr>
    </w:div>
    <w:div w:id="12252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Kulkarni</dc:creator>
  <cp:lastModifiedBy>Vinod W. Jadhav</cp:lastModifiedBy>
  <cp:revision>10</cp:revision>
  <cp:lastPrinted>2018-04-10T07:06:00Z</cp:lastPrinted>
  <dcterms:created xsi:type="dcterms:W3CDTF">2019-06-24T09:13:00Z</dcterms:created>
  <dcterms:modified xsi:type="dcterms:W3CDTF">2019-06-24T10:30:00Z</dcterms:modified>
</cp:coreProperties>
</file>