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1EF" w:rsidRDefault="00FC62FB" w:rsidP="008D61EF">
      <w:pPr>
        <w:spacing w:line="100" w:lineRule="atLeast"/>
        <w:contextualSpacing/>
        <w:rPr>
          <w:sz w:val="24"/>
          <w:szCs w:val="24"/>
          <w:lang w:val="en-US"/>
        </w:rPr>
      </w:pPr>
      <w:r>
        <w:rPr>
          <w:sz w:val="24"/>
          <w:szCs w:val="24"/>
          <w:lang w:val="en-US"/>
        </w:rPr>
        <w:t>August 02</w:t>
      </w:r>
      <w:r w:rsidR="00FC48B4">
        <w:rPr>
          <w:sz w:val="24"/>
          <w:szCs w:val="24"/>
          <w:lang w:val="en-US"/>
        </w:rPr>
        <w:t>, 2018</w:t>
      </w:r>
    </w:p>
    <w:p w:rsidR="00FC48B4" w:rsidRDefault="00FC48B4" w:rsidP="008D61EF">
      <w:pPr>
        <w:spacing w:line="100" w:lineRule="atLeast"/>
        <w:contextualSpacing/>
        <w:rPr>
          <w:sz w:val="24"/>
          <w:szCs w:val="24"/>
          <w:lang w:val="en-US"/>
        </w:rPr>
      </w:pPr>
    </w:p>
    <w:p w:rsidR="008D61EF" w:rsidRPr="009139A6" w:rsidRDefault="008D61EF" w:rsidP="00555D99">
      <w:pPr>
        <w:ind w:left="720" w:hanging="720"/>
        <w:contextualSpacing/>
        <w:jc w:val="both"/>
        <w:rPr>
          <w:rFonts w:cs="Arial"/>
          <w:sz w:val="24"/>
          <w:szCs w:val="24"/>
        </w:rPr>
      </w:pPr>
      <w:r w:rsidRPr="009139A6">
        <w:rPr>
          <w:b/>
          <w:sz w:val="24"/>
          <w:szCs w:val="24"/>
        </w:rPr>
        <w:t xml:space="preserve">Sub: </w:t>
      </w:r>
      <w:r w:rsidRPr="009139A6">
        <w:rPr>
          <w:b/>
          <w:sz w:val="24"/>
          <w:szCs w:val="24"/>
        </w:rPr>
        <w:tab/>
        <w:t>Notice of Board Meeting – Regulation</w:t>
      </w:r>
      <w:r w:rsidR="00555D99">
        <w:rPr>
          <w:b/>
          <w:sz w:val="24"/>
          <w:szCs w:val="24"/>
        </w:rPr>
        <w:t>s</w:t>
      </w:r>
      <w:r w:rsidRPr="009139A6">
        <w:rPr>
          <w:b/>
          <w:sz w:val="24"/>
          <w:szCs w:val="24"/>
        </w:rPr>
        <w:t xml:space="preserve"> </w:t>
      </w:r>
      <w:r>
        <w:rPr>
          <w:b/>
          <w:sz w:val="24"/>
          <w:szCs w:val="24"/>
        </w:rPr>
        <w:t>29</w:t>
      </w:r>
      <w:r w:rsidRPr="009139A6">
        <w:rPr>
          <w:b/>
          <w:sz w:val="24"/>
          <w:szCs w:val="24"/>
        </w:rPr>
        <w:t xml:space="preserve"> </w:t>
      </w:r>
      <w:r w:rsidR="00555D99">
        <w:rPr>
          <w:b/>
          <w:sz w:val="24"/>
          <w:szCs w:val="24"/>
        </w:rPr>
        <w:t xml:space="preserve">&amp; 33 </w:t>
      </w:r>
      <w:r w:rsidRPr="009139A6">
        <w:rPr>
          <w:b/>
          <w:sz w:val="24"/>
          <w:szCs w:val="24"/>
        </w:rPr>
        <w:t xml:space="preserve">of </w:t>
      </w:r>
      <w:r>
        <w:rPr>
          <w:b/>
          <w:sz w:val="24"/>
          <w:szCs w:val="24"/>
        </w:rPr>
        <w:t xml:space="preserve">the </w:t>
      </w:r>
      <w:r w:rsidRPr="009139A6">
        <w:rPr>
          <w:b/>
          <w:sz w:val="24"/>
          <w:szCs w:val="24"/>
        </w:rPr>
        <w:t xml:space="preserve">SEBI (Listing Obligations and Disclosure Requirements) Regulations, 2015 </w:t>
      </w:r>
      <w:r>
        <w:rPr>
          <w:b/>
          <w:sz w:val="24"/>
          <w:szCs w:val="24"/>
        </w:rPr>
        <w:t>[</w:t>
      </w:r>
      <w:r w:rsidRPr="009139A6">
        <w:rPr>
          <w:b/>
          <w:sz w:val="24"/>
          <w:szCs w:val="24"/>
        </w:rPr>
        <w:t>SEBI (LODR) Regulations, 2015</w:t>
      </w:r>
      <w:r>
        <w:rPr>
          <w:b/>
          <w:sz w:val="24"/>
          <w:szCs w:val="24"/>
        </w:rPr>
        <w:t>]</w:t>
      </w:r>
      <w:r w:rsidRPr="009139A6">
        <w:rPr>
          <w:b/>
          <w:sz w:val="24"/>
          <w:szCs w:val="24"/>
        </w:rPr>
        <w:t xml:space="preserve"> </w:t>
      </w:r>
    </w:p>
    <w:p w:rsidR="008D61EF" w:rsidRPr="009139A6" w:rsidRDefault="008D61EF" w:rsidP="008D61EF">
      <w:pPr>
        <w:spacing w:line="240" w:lineRule="auto"/>
        <w:contextualSpacing/>
        <w:jc w:val="both"/>
        <w:rPr>
          <w:rFonts w:cs="Arial"/>
          <w:sz w:val="24"/>
          <w:szCs w:val="24"/>
        </w:rPr>
      </w:pPr>
    </w:p>
    <w:p w:rsidR="00695451" w:rsidRPr="00695451" w:rsidRDefault="007E6328" w:rsidP="00FC62FB">
      <w:pPr>
        <w:spacing w:line="240" w:lineRule="auto"/>
        <w:jc w:val="both"/>
        <w:rPr>
          <w:rFonts w:cs="Arial"/>
          <w:i/>
          <w:sz w:val="24"/>
          <w:szCs w:val="24"/>
        </w:rPr>
      </w:pPr>
      <w:r w:rsidRPr="009139A6">
        <w:rPr>
          <w:rFonts w:cs="Arial"/>
          <w:sz w:val="24"/>
          <w:szCs w:val="24"/>
        </w:rPr>
        <w:t xml:space="preserve">Pursuant </w:t>
      </w:r>
      <w:r w:rsidR="008D61EF" w:rsidRPr="009139A6">
        <w:rPr>
          <w:rFonts w:cs="Arial"/>
          <w:sz w:val="24"/>
          <w:szCs w:val="24"/>
        </w:rPr>
        <w:t>to Regulation</w:t>
      </w:r>
      <w:r w:rsidR="00555D99">
        <w:rPr>
          <w:rFonts w:cs="Arial"/>
          <w:sz w:val="24"/>
          <w:szCs w:val="24"/>
        </w:rPr>
        <w:t>s</w:t>
      </w:r>
      <w:r w:rsidR="008D61EF" w:rsidRPr="009139A6">
        <w:rPr>
          <w:rFonts w:cs="Arial"/>
          <w:sz w:val="24"/>
          <w:szCs w:val="24"/>
        </w:rPr>
        <w:t xml:space="preserve"> </w:t>
      </w:r>
      <w:r w:rsidR="008D61EF">
        <w:rPr>
          <w:rFonts w:cs="Arial"/>
          <w:sz w:val="24"/>
          <w:szCs w:val="24"/>
        </w:rPr>
        <w:t xml:space="preserve">29 </w:t>
      </w:r>
      <w:r w:rsidR="00555D99">
        <w:rPr>
          <w:rFonts w:cs="Arial"/>
          <w:sz w:val="24"/>
          <w:szCs w:val="24"/>
        </w:rPr>
        <w:t xml:space="preserve">&amp; 33 </w:t>
      </w:r>
      <w:r w:rsidR="008D61EF" w:rsidRPr="009139A6">
        <w:rPr>
          <w:rFonts w:cs="Arial"/>
          <w:sz w:val="24"/>
          <w:szCs w:val="24"/>
        </w:rPr>
        <w:t>of the SEBI (LODR) Regulations, 2015</w:t>
      </w:r>
      <w:r w:rsidR="008D61EF">
        <w:rPr>
          <w:rFonts w:cs="Arial"/>
          <w:sz w:val="24"/>
          <w:szCs w:val="24"/>
        </w:rPr>
        <w:t>,</w:t>
      </w:r>
      <w:r w:rsidR="008D61EF" w:rsidRPr="009139A6">
        <w:rPr>
          <w:rFonts w:cs="Arial"/>
          <w:sz w:val="24"/>
          <w:szCs w:val="24"/>
        </w:rPr>
        <w:t xml:space="preserve"> </w:t>
      </w:r>
      <w:r w:rsidR="00E27F27">
        <w:rPr>
          <w:rFonts w:cs="Arial"/>
          <w:sz w:val="24"/>
          <w:szCs w:val="24"/>
        </w:rPr>
        <w:t xml:space="preserve">Notice </w:t>
      </w:r>
      <w:r w:rsidR="008D61EF" w:rsidRPr="009139A6">
        <w:rPr>
          <w:rFonts w:cs="Arial"/>
          <w:sz w:val="24"/>
          <w:szCs w:val="24"/>
        </w:rPr>
        <w:t>is hereby given</w:t>
      </w:r>
      <w:r w:rsidR="008D61EF">
        <w:rPr>
          <w:rFonts w:cs="Arial"/>
          <w:sz w:val="24"/>
          <w:szCs w:val="24"/>
        </w:rPr>
        <w:t xml:space="preserve"> that</w:t>
      </w:r>
      <w:r w:rsidR="008D61EF" w:rsidRPr="009139A6">
        <w:rPr>
          <w:rFonts w:cs="Arial"/>
          <w:sz w:val="24"/>
          <w:szCs w:val="24"/>
        </w:rPr>
        <w:t xml:space="preserve"> a meeting of the Board of Directors of </w:t>
      </w:r>
      <w:proofErr w:type="spellStart"/>
      <w:r w:rsidR="00695451">
        <w:rPr>
          <w:rFonts w:cs="Arial"/>
          <w:sz w:val="24"/>
          <w:szCs w:val="24"/>
        </w:rPr>
        <w:t>Ashoka</w:t>
      </w:r>
      <w:proofErr w:type="spellEnd"/>
      <w:r w:rsidR="00695451">
        <w:rPr>
          <w:rFonts w:cs="Arial"/>
          <w:sz w:val="24"/>
          <w:szCs w:val="24"/>
        </w:rPr>
        <w:t xml:space="preserve"> </w:t>
      </w:r>
      <w:proofErr w:type="spellStart"/>
      <w:r w:rsidR="00695451">
        <w:rPr>
          <w:rFonts w:cs="Arial"/>
          <w:sz w:val="24"/>
          <w:szCs w:val="24"/>
        </w:rPr>
        <w:t>Buildcon</w:t>
      </w:r>
      <w:proofErr w:type="spellEnd"/>
      <w:r w:rsidR="00695451">
        <w:rPr>
          <w:rFonts w:cs="Arial"/>
          <w:sz w:val="24"/>
          <w:szCs w:val="24"/>
        </w:rPr>
        <w:t xml:space="preserve"> Limited (“</w:t>
      </w:r>
      <w:r w:rsidR="008D61EF" w:rsidRPr="009139A6">
        <w:rPr>
          <w:rFonts w:cs="Arial"/>
          <w:sz w:val="24"/>
          <w:szCs w:val="24"/>
        </w:rPr>
        <w:t>the Company</w:t>
      </w:r>
      <w:r w:rsidR="00695451">
        <w:rPr>
          <w:rFonts w:cs="Arial"/>
          <w:sz w:val="24"/>
          <w:szCs w:val="24"/>
        </w:rPr>
        <w:t>”)</w:t>
      </w:r>
      <w:r w:rsidR="008D61EF" w:rsidRPr="009139A6">
        <w:rPr>
          <w:rFonts w:cs="Arial"/>
          <w:sz w:val="24"/>
          <w:szCs w:val="24"/>
        </w:rPr>
        <w:t xml:space="preserve"> will be held on </w:t>
      </w:r>
      <w:r w:rsidR="00FC62FB" w:rsidRPr="00555D99">
        <w:rPr>
          <w:rFonts w:cs="Arial"/>
          <w:b/>
          <w:sz w:val="24"/>
          <w:szCs w:val="24"/>
        </w:rPr>
        <w:t>Mon</w:t>
      </w:r>
      <w:r w:rsidR="008D61EF" w:rsidRPr="00555D99">
        <w:rPr>
          <w:rFonts w:cs="Arial"/>
          <w:b/>
          <w:sz w:val="24"/>
          <w:szCs w:val="24"/>
        </w:rPr>
        <w:t xml:space="preserve">day, </w:t>
      </w:r>
      <w:r w:rsidR="00FC62FB" w:rsidRPr="00555D99">
        <w:rPr>
          <w:rFonts w:cs="Arial"/>
          <w:b/>
          <w:sz w:val="24"/>
          <w:szCs w:val="24"/>
        </w:rPr>
        <w:t>August</w:t>
      </w:r>
      <w:r w:rsidR="00695451" w:rsidRPr="00555D99">
        <w:rPr>
          <w:rFonts w:cs="Arial"/>
          <w:b/>
          <w:sz w:val="24"/>
          <w:szCs w:val="24"/>
        </w:rPr>
        <w:t xml:space="preserve"> </w:t>
      </w:r>
      <w:r w:rsidR="00FC62FB" w:rsidRPr="00555D99">
        <w:rPr>
          <w:rFonts w:cs="Arial"/>
          <w:b/>
          <w:sz w:val="24"/>
          <w:szCs w:val="24"/>
        </w:rPr>
        <w:t>13</w:t>
      </w:r>
      <w:r w:rsidR="008D61EF" w:rsidRPr="00555D99">
        <w:rPr>
          <w:rFonts w:cs="Arial"/>
          <w:b/>
          <w:sz w:val="24"/>
          <w:szCs w:val="24"/>
        </w:rPr>
        <w:t>, 2018</w:t>
      </w:r>
      <w:r w:rsidR="00DF342F">
        <w:rPr>
          <w:rFonts w:cs="Arial"/>
          <w:sz w:val="24"/>
          <w:szCs w:val="24"/>
        </w:rPr>
        <w:t xml:space="preserve"> </w:t>
      </w:r>
      <w:r w:rsidR="00695451" w:rsidRPr="00555D99">
        <w:rPr>
          <w:rFonts w:cs="Arial"/>
          <w:sz w:val="24"/>
          <w:szCs w:val="24"/>
        </w:rPr>
        <w:t>inter alia</w:t>
      </w:r>
      <w:r w:rsidR="00E61E9A" w:rsidRPr="00555D99">
        <w:rPr>
          <w:rFonts w:cs="Arial"/>
          <w:sz w:val="24"/>
          <w:szCs w:val="24"/>
        </w:rPr>
        <w:t xml:space="preserve"> to</w:t>
      </w:r>
      <w:r w:rsidR="00695451" w:rsidRPr="00555D99">
        <w:rPr>
          <w:rFonts w:cs="Arial"/>
          <w:sz w:val="24"/>
          <w:szCs w:val="24"/>
        </w:rPr>
        <w:t xml:space="preserve"> </w:t>
      </w:r>
      <w:r w:rsidR="00555D99" w:rsidRPr="00555D99">
        <w:rPr>
          <w:rFonts w:cs="Arial"/>
          <w:sz w:val="24"/>
          <w:szCs w:val="24"/>
        </w:rPr>
        <w:t xml:space="preserve">consider and </w:t>
      </w:r>
      <w:r w:rsidR="00695451" w:rsidRPr="00555D99">
        <w:rPr>
          <w:rFonts w:cs="Arial"/>
          <w:sz w:val="24"/>
          <w:szCs w:val="24"/>
        </w:rPr>
        <w:t>approve</w:t>
      </w:r>
      <w:r w:rsidR="00695451">
        <w:rPr>
          <w:rFonts w:cs="Arial"/>
          <w:sz w:val="24"/>
          <w:szCs w:val="24"/>
        </w:rPr>
        <w:t xml:space="preserve"> </w:t>
      </w:r>
      <w:proofErr w:type="gramStart"/>
      <w:r w:rsidR="004C3949">
        <w:rPr>
          <w:rFonts w:cs="Arial"/>
          <w:sz w:val="24"/>
          <w:szCs w:val="24"/>
        </w:rPr>
        <w:t>the</w:t>
      </w:r>
      <w:proofErr w:type="gramEnd"/>
      <w:r w:rsidR="004C3949">
        <w:rPr>
          <w:rFonts w:cs="Arial"/>
          <w:sz w:val="24"/>
          <w:szCs w:val="24"/>
        </w:rPr>
        <w:t xml:space="preserve"> </w:t>
      </w:r>
      <w:r w:rsidR="00555D99">
        <w:rPr>
          <w:rFonts w:cs="Arial"/>
          <w:sz w:val="24"/>
          <w:szCs w:val="24"/>
        </w:rPr>
        <w:t>U</w:t>
      </w:r>
      <w:r w:rsidR="00FC62FB">
        <w:rPr>
          <w:rFonts w:cs="Arial"/>
          <w:sz w:val="24"/>
          <w:szCs w:val="24"/>
        </w:rPr>
        <w:t>n</w:t>
      </w:r>
      <w:r w:rsidR="00695451">
        <w:rPr>
          <w:rFonts w:cs="Arial"/>
          <w:sz w:val="24"/>
          <w:szCs w:val="24"/>
        </w:rPr>
        <w:t xml:space="preserve">audited </w:t>
      </w:r>
      <w:r w:rsidR="00555D99">
        <w:rPr>
          <w:rFonts w:cs="Arial"/>
          <w:sz w:val="24"/>
          <w:szCs w:val="24"/>
        </w:rPr>
        <w:t>S</w:t>
      </w:r>
      <w:r w:rsidR="00695451">
        <w:rPr>
          <w:rFonts w:cs="Arial"/>
          <w:sz w:val="24"/>
          <w:szCs w:val="24"/>
        </w:rPr>
        <w:t xml:space="preserve">tandalone </w:t>
      </w:r>
      <w:r w:rsidR="00555D99">
        <w:rPr>
          <w:rFonts w:cs="Arial"/>
          <w:sz w:val="24"/>
          <w:szCs w:val="24"/>
        </w:rPr>
        <w:t>F</w:t>
      </w:r>
      <w:r w:rsidR="00695451">
        <w:rPr>
          <w:rFonts w:cs="Arial"/>
          <w:sz w:val="24"/>
          <w:szCs w:val="24"/>
        </w:rPr>
        <w:t xml:space="preserve">inancial </w:t>
      </w:r>
      <w:r w:rsidR="00555D99">
        <w:rPr>
          <w:rFonts w:cs="Arial"/>
          <w:sz w:val="24"/>
          <w:szCs w:val="24"/>
        </w:rPr>
        <w:t>R</w:t>
      </w:r>
      <w:r w:rsidR="00695451">
        <w:rPr>
          <w:rFonts w:cs="Arial"/>
          <w:sz w:val="24"/>
          <w:szCs w:val="24"/>
        </w:rPr>
        <w:t xml:space="preserve">esults </w:t>
      </w:r>
      <w:r w:rsidR="00FC62FB">
        <w:rPr>
          <w:rFonts w:cs="Arial"/>
          <w:sz w:val="24"/>
          <w:szCs w:val="24"/>
        </w:rPr>
        <w:t>(</w:t>
      </w:r>
      <w:r w:rsidR="00555D99">
        <w:rPr>
          <w:rFonts w:cs="Arial"/>
          <w:sz w:val="24"/>
          <w:szCs w:val="24"/>
        </w:rPr>
        <w:t xml:space="preserve">along with </w:t>
      </w:r>
      <w:r w:rsidR="00FC62FB">
        <w:rPr>
          <w:rFonts w:cs="Arial"/>
          <w:sz w:val="24"/>
          <w:szCs w:val="24"/>
        </w:rPr>
        <w:t>Limited Review</w:t>
      </w:r>
      <w:r w:rsidR="00555D99">
        <w:rPr>
          <w:rFonts w:cs="Arial"/>
          <w:sz w:val="24"/>
          <w:szCs w:val="24"/>
        </w:rPr>
        <w:t xml:space="preserve"> Report</w:t>
      </w:r>
      <w:r w:rsidR="00FC62FB">
        <w:rPr>
          <w:rFonts w:cs="Arial"/>
          <w:sz w:val="24"/>
          <w:szCs w:val="24"/>
        </w:rPr>
        <w:t xml:space="preserve">) </w:t>
      </w:r>
      <w:r w:rsidR="00695451">
        <w:rPr>
          <w:rFonts w:cs="Arial"/>
          <w:sz w:val="24"/>
          <w:szCs w:val="24"/>
        </w:rPr>
        <w:t xml:space="preserve">of the Company for the </w:t>
      </w:r>
      <w:r w:rsidR="00FC62FB">
        <w:rPr>
          <w:rFonts w:cs="Arial"/>
          <w:sz w:val="24"/>
          <w:szCs w:val="24"/>
        </w:rPr>
        <w:t xml:space="preserve">quarter </w:t>
      </w:r>
      <w:r w:rsidR="00695451">
        <w:rPr>
          <w:rFonts w:cs="Arial"/>
          <w:sz w:val="24"/>
          <w:szCs w:val="24"/>
        </w:rPr>
        <w:t xml:space="preserve">ended </w:t>
      </w:r>
      <w:r w:rsidR="00FC62FB">
        <w:rPr>
          <w:rFonts w:cs="Arial"/>
          <w:sz w:val="24"/>
          <w:szCs w:val="24"/>
        </w:rPr>
        <w:t xml:space="preserve">June 30, 2018 (Q1FY19). </w:t>
      </w:r>
    </w:p>
    <w:p w:rsidR="00147786" w:rsidRDefault="00147786" w:rsidP="00147786">
      <w:pPr>
        <w:spacing w:line="240" w:lineRule="auto"/>
        <w:jc w:val="both"/>
        <w:rPr>
          <w:rFonts w:cs="Arial"/>
          <w:color w:val="000000"/>
          <w:sz w:val="24"/>
          <w:szCs w:val="24"/>
          <w:shd w:val="clear" w:color="auto" w:fill="FFFFFF"/>
        </w:rPr>
      </w:pPr>
      <w:r>
        <w:rPr>
          <w:rFonts w:cs="Arial"/>
          <w:color w:val="000000"/>
          <w:sz w:val="24"/>
          <w:szCs w:val="24"/>
          <w:shd w:val="clear" w:color="auto" w:fill="FFFFFF"/>
        </w:rPr>
        <w:t>Please note that pursuant to Regulation 33(3</w:t>
      </w:r>
      <w:proofErr w:type="gramStart"/>
      <w:r>
        <w:rPr>
          <w:rFonts w:cs="Arial"/>
          <w:color w:val="000000"/>
          <w:sz w:val="24"/>
          <w:szCs w:val="24"/>
          <w:shd w:val="clear" w:color="auto" w:fill="FFFFFF"/>
        </w:rPr>
        <w:t>)(</w:t>
      </w:r>
      <w:proofErr w:type="gramEnd"/>
      <w:r>
        <w:rPr>
          <w:rFonts w:cs="Arial"/>
          <w:color w:val="000000"/>
          <w:sz w:val="24"/>
          <w:szCs w:val="24"/>
          <w:shd w:val="clear" w:color="auto" w:fill="FFFFFF"/>
        </w:rPr>
        <w:t xml:space="preserve">b) of the SEBI LODR Regulations, 2015, the Company has opted not to prepare and submit the Consolidated Financial Results for the first three quarters i.e., quarter ended on June 30, 2018, quarters ending September 30, 2018 and December 31, 2018. The Company will submit and publish the Consolidated Financial Results (CFS) for the quarter and year ending March 31, 2019. Accordingly, CFS for the first 3 quarters will not be published by the Company.  </w:t>
      </w:r>
    </w:p>
    <w:p w:rsidR="008D61EF" w:rsidRPr="009139A6" w:rsidRDefault="008D61EF" w:rsidP="00FF29B4">
      <w:pPr>
        <w:spacing w:line="240" w:lineRule="auto"/>
        <w:contextualSpacing/>
        <w:jc w:val="both"/>
        <w:rPr>
          <w:sz w:val="24"/>
          <w:szCs w:val="24"/>
        </w:rPr>
      </w:pPr>
      <w:r w:rsidRPr="009139A6">
        <w:rPr>
          <w:rFonts w:cs="Arial"/>
          <w:color w:val="000000"/>
          <w:sz w:val="24"/>
          <w:szCs w:val="24"/>
          <w:shd w:val="clear" w:color="auto" w:fill="FFFFFF"/>
        </w:rPr>
        <w:t>Further, as per the Compan</w:t>
      </w:r>
      <w:bookmarkStart w:id="0" w:name="_GoBack"/>
      <w:bookmarkEnd w:id="0"/>
      <w:r w:rsidRPr="009139A6">
        <w:rPr>
          <w:rFonts w:cs="Arial"/>
          <w:color w:val="000000"/>
          <w:sz w:val="24"/>
          <w:szCs w:val="24"/>
          <w:shd w:val="clear" w:color="auto" w:fill="FFFFFF"/>
        </w:rPr>
        <w:t xml:space="preserve">y's Code of Conduct for Prohibition of Insider Trading for Designated Employees, framed pursuant to the Securities and Exchange Board of India (Prohibition of Insider Trading) Regulations, 2015, the Trading Window for dealing in the securities of the Company will remain closed for all Designated Employees (including Directors) of the Company and their dependents </w:t>
      </w:r>
      <w:r w:rsidRPr="00695451">
        <w:rPr>
          <w:rFonts w:cs="Arial"/>
          <w:color w:val="000000"/>
          <w:sz w:val="24"/>
          <w:szCs w:val="24"/>
          <w:shd w:val="clear" w:color="auto" w:fill="FFFFFF"/>
        </w:rPr>
        <w:t xml:space="preserve">from </w:t>
      </w:r>
      <w:r w:rsidR="00FC62FB">
        <w:rPr>
          <w:rFonts w:cs="Arial"/>
          <w:color w:val="000000"/>
          <w:sz w:val="24"/>
          <w:szCs w:val="24"/>
          <w:shd w:val="clear" w:color="auto" w:fill="FFFFFF"/>
        </w:rPr>
        <w:t>August 03</w:t>
      </w:r>
      <w:r w:rsidRPr="00695451">
        <w:rPr>
          <w:rFonts w:cs="Arial"/>
          <w:color w:val="000000"/>
          <w:sz w:val="24"/>
          <w:szCs w:val="24"/>
          <w:shd w:val="clear" w:color="auto" w:fill="FFFFFF"/>
        </w:rPr>
        <w:t xml:space="preserve">, 2018 till </w:t>
      </w:r>
      <w:r w:rsidR="00695451" w:rsidRPr="00695451">
        <w:rPr>
          <w:rFonts w:cs="Arial"/>
          <w:color w:val="000000"/>
          <w:sz w:val="24"/>
          <w:szCs w:val="24"/>
          <w:shd w:val="clear" w:color="auto" w:fill="FFFFFF"/>
        </w:rPr>
        <w:t xml:space="preserve">the expiry of 48 hours from the </w:t>
      </w:r>
      <w:r w:rsidR="00E90F98">
        <w:rPr>
          <w:rFonts w:cs="Arial"/>
          <w:color w:val="000000"/>
          <w:sz w:val="24"/>
          <w:szCs w:val="24"/>
          <w:shd w:val="clear" w:color="auto" w:fill="FFFFFF"/>
        </w:rPr>
        <w:t xml:space="preserve">announcement of </w:t>
      </w:r>
      <w:r w:rsidR="00695451" w:rsidRPr="00695451">
        <w:rPr>
          <w:rFonts w:cs="Arial"/>
          <w:color w:val="000000"/>
          <w:sz w:val="24"/>
          <w:szCs w:val="24"/>
          <w:shd w:val="clear" w:color="auto" w:fill="FFFFFF"/>
        </w:rPr>
        <w:t xml:space="preserve">said financial results </w:t>
      </w:r>
      <w:r w:rsidR="009A2C1E">
        <w:rPr>
          <w:rFonts w:cs="Arial"/>
          <w:color w:val="000000"/>
          <w:sz w:val="24"/>
          <w:szCs w:val="24"/>
          <w:shd w:val="clear" w:color="auto" w:fill="FFFFFF"/>
        </w:rPr>
        <w:t xml:space="preserve">to the </w:t>
      </w:r>
      <w:r w:rsidR="00695451" w:rsidRPr="00695451">
        <w:rPr>
          <w:rFonts w:cs="Arial"/>
          <w:color w:val="000000"/>
          <w:sz w:val="24"/>
          <w:szCs w:val="24"/>
          <w:shd w:val="clear" w:color="auto" w:fill="FFFFFF"/>
        </w:rPr>
        <w:t xml:space="preserve">public. </w:t>
      </w:r>
    </w:p>
    <w:p w:rsidR="008D61EF" w:rsidRPr="009139A6" w:rsidRDefault="008D61EF" w:rsidP="008D61EF">
      <w:pPr>
        <w:spacing w:line="240" w:lineRule="auto"/>
        <w:contextualSpacing/>
        <w:rPr>
          <w:sz w:val="24"/>
          <w:szCs w:val="24"/>
        </w:rPr>
      </w:pPr>
    </w:p>
    <w:p w:rsidR="008D61EF" w:rsidRPr="009139A6" w:rsidRDefault="008D61EF" w:rsidP="008D61EF">
      <w:pPr>
        <w:spacing w:line="240" w:lineRule="auto"/>
        <w:contextualSpacing/>
        <w:rPr>
          <w:b/>
          <w:sz w:val="24"/>
          <w:szCs w:val="24"/>
        </w:rPr>
      </w:pPr>
      <w:r w:rsidRPr="009139A6">
        <w:rPr>
          <w:sz w:val="24"/>
          <w:szCs w:val="24"/>
        </w:rPr>
        <w:t>Please take note of the same.</w:t>
      </w:r>
    </w:p>
    <w:p w:rsidR="008D61EF" w:rsidRPr="009139A6" w:rsidRDefault="008D61EF" w:rsidP="008D61EF">
      <w:pPr>
        <w:spacing w:line="240" w:lineRule="auto"/>
        <w:contextualSpacing/>
        <w:jc w:val="both"/>
        <w:rPr>
          <w:b/>
          <w:sz w:val="24"/>
          <w:szCs w:val="24"/>
        </w:rPr>
      </w:pPr>
    </w:p>
    <w:sectPr w:rsidR="008D61EF" w:rsidRPr="009139A6" w:rsidSect="002D5308">
      <w:pgSz w:w="11906" w:h="16838"/>
      <w:pgMar w:top="1872" w:right="1440" w:bottom="1440" w:left="1872"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0"/>
        </w:tabs>
        <w:ind w:left="720" w:hanging="360"/>
      </w:pPr>
      <w:rPr>
        <w:rFonts w:cs="Arial"/>
        <w:sz w:val="24"/>
        <w:szCs w:val="24"/>
      </w:rPr>
    </w:lvl>
  </w:abstractNum>
  <w:abstractNum w:abstractNumId="1">
    <w:nsid w:val="11AC37D0"/>
    <w:multiLevelType w:val="hybridMultilevel"/>
    <w:tmpl w:val="D7B49FC2"/>
    <w:lvl w:ilvl="0" w:tplc="40090019">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2D75C1C"/>
    <w:multiLevelType w:val="hybridMultilevel"/>
    <w:tmpl w:val="D7B49FC2"/>
    <w:lvl w:ilvl="0" w:tplc="40090019">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5E"/>
    <w:rsid w:val="00030D9C"/>
    <w:rsid w:val="00045C18"/>
    <w:rsid w:val="00051328"/>
    <w:rsid w:val="000A2C04"/>
    <w:rsid w:val="000E5D74"/>
    <w:rsid w:val="00137AB9"/>
    <w:rsid w:val="00142965"/>
    <w:rsid w:val="00147786"/>
    <w:rsid w:val="00181DAB"/>
    <w:rsid w:val="001A26B6"/>
    <w:rsid w:val="001A5A5E"/>
    <w:rsid w:val="001C42E1"/>
    <w:rsid w:val="001D52D7"/>
    <w:rsid w:val="001E41B3"/>
    <w:rsid w:val="00295A29"/>
    <w:rsid w:val="002A18B9"/>
    <w:rsid w:val="002C3228"/>
    <w:rsid w:val="002C450A"/>
    <w:rsid w:val="002D5308"/>
    <w:rsid w:val="00321BE4"/>
    <w:rsid w:val="0032544D"/>
    <w:rsid w:val="00351C81"/>
    <w:rsid w:val="003D4612"/>
    <w:rsid w:val="003E48DF"/>
    <w:rsid w:val="00403865"/>
    <w:rsid w:val="0043052A"/>
    <w:rsid w:val="0045750E"/>
    <w:rsid w:val="00471D32"/>
    <w:rsid w:val="004C3949"/>
    <w:rsid w:val="004F0A45"/>
    <w:rsid w:val="00551C7F"/>
    <w:rsid w:val="0055220F"/>
    <w:rsid w:val="00555D99"/>
    <w:rsid w:val="005A51D4"/>
    <w:rsid w:val="005B532D"/>
    <w:rsid w:val="005F1BCA"/>
    <w:rsid w:val="00625BD3"/>
    <w:rsid w:val="00665E62"/>
    <w:rsid w:val="00695451"/>
    <w:rsid w:val="006A649C"/>
    <w:rsid w:val="006D0FE5"/>
    <w:rsid w:val="006D3875"/>
    <w:rsid w:val="0073091D"/>
    <w:rsid w:val="00777F10"/>
    <w:rsid w:val="00785E91"/>
    <w:rsid w:val="007E6328"/>
    <w:rsid w:val="00806C61"/>
    <w:rsid w:val="00826F92"/>
    <w:rsid w:val="00850BEC"/>
    <w:rsid w:val="00872D79"/>
    <w:rsid w:val="008A001E"/>
    <w:rsid w:val="008A3D48"/>
    <w:rsid w:val="008D24D6"/>
    <w:rsid w:val="008D61EF"/>
    <w:rsid w:val="00902D5C"/>
    <w:rsid w:val="009139A6"/>
    <w:rsid w:val="00995323"/>
    <w:rsid w:val="009A2C1E"/>
    <w:rsid w:val="009B6CA0"/>
    <w:rsid w:val="009D2552"/>
    <w:rsid w:val="00A12C0C"/>
    <w:rsid w:val="00AC319E"/>
    <w:rsid w:val="00B32ED8"/>
    <w:rsid w:val="00B43D84"/>
    <w:rsid w:val="00B62C1E"/>
    <w:rsid w:val="00B744AC"/>
    <w:rsid w:val="00B824F2"/>
    <w:rsid w:val="00BA0F11"/>
    <w:rsid w:val="00C044C0"/>
    <w:rsid w:val="00C7344E"/>
    <w:rsid w:val="00C812E2"/>
    <w:rsid w:val="00CC732C"/>
    <w:rsid w:val="00CD4EA2"/>
    <w:rsid w:val="00DF342F"/>
    <w:rsid w:val="00E22476"/>
    <w:rsid w:val="00E24F65"/>
    <w:rsid w:val="00E27F27"/>
    <w:rsid w:val="00E43CD2"/>
    <w:rsid w:val="00E503CB"/>
    <w:rsid w:val="00E53FDA"/>
    <w:rsid w:val="00E61E9A"/>
    <w:rsid w:val="00E64A5D"/>
    <w:rsid w:val="00E90664"/>
    <w:rsid w:val="00E90F98"/>
    <w:rsid w:val="00E948A9"/>
    <w:rsid w:val="00E97AC8"/>
    <w:rsid w:val="00F352B3"/>
    <w:rsid w:val="00F51C49"/>
    <w:rsid w:val="00F54722"/>
    <w:rsid w:val="00F73BD8"/>
    <w:rsid w:val="00FA15AA"/>
    <w:rsid w:val="00FC48B4"/>
    <w:rsid w:val="00FC62FB"/>
    <w:rsid w:val="00FF29B4"/>
    <w:rsid w:val="00FF5A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Strong">
    <w:name w:val="Strong"/>
    <w:qFormat/>
    <w:rPr>
      <w:b/>
      <w:bCs/>
    </w:rPr>
  </w:style>
  <w:style w:type="character" w:customStyle="1" w:styleId="BalloonTextChar">
    <w:name w:val="Balloon Text Char"/>
    <w:rPr>
      <w:rFonts w:ascii="Tahoma" w:hAnsi="Tahoma" w:cs="Tahoma"/>
      <w:sz w:val="16"/>
      <w:szCs w:val="16"/>
      <w:lang w:val="en-I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240" w:lineRule="auto"/>
    </w:pPr>
    <w:rPr>
      <w:rFonts w:ascii="Tahoma" w:hAnsi="Tahoma" w:cs="Tahoma"/>
      <w:sz w:val="16"/>
      <w:szCs w:val="16"/>
    </w:rPr>
  </w:style>
  <w:style w:type="character" w:styleId="CommentReference">
    <w:name w:val="annotation reference"/>
    <w:uiPriority w:val="99"/>
    <w:semiHidden/>
    <w:unhideWhenUsed/>
    <w:rsid w:val="00C812E2"/>
    <w:rPr>
      <w:sz w:val="16"/>
      <w:szCs w:val="16"/>
    </w:rPr>
  </w:style>
  <w:style w:type="paragraph" w:styleId="CommentText">
    <w:name w:val="annotation text"/>
    <w:basedOn w:val="Normal"/>
    <w:link w:val="CommentTextChar"/>
    <w:uiPriority w:val="99"/>
    <w:semiHidden/>
    <w:unhideWhenUsed/>
    <w:rsid w:val="00C812E2"/>
    <w:rPr>
      <w:sz w:val="20"/>
      <w:szCs w:val="20"/>
    </w:rPr>
  </w:style>
  <w:style w:type="character" w:customStyle="1" w:styleId="CommentTextChar">
    <w:name w:val="Comment Text Char"/>
    <w:link w:val="CommentText"/>
    <w:uiPriority w:val="99"/>
    <w:semiHidden/>
    <w:rsid w:val="00C812E2"/>
    <w:rPr>
      <w:rFonts w:ascii="Calibri" w:eastAsia="Calibri" w:hAnsi="Calibri"/>
      <w:lang w:val="en-IN" w:eastAsia="zh-CN"/>
    </w:rPr>
  </w:style>
  <w:style w:type="paragraph" w:styleId="CommentSubject">
    <w:name w:val="annotation subject"/>
    <w:basedOn w:val="CommentText"/>
    <w:next w:val="CommentText"/>
    <w:link w:val="CommentSubjectChar"/>
    <w:uiPriority w:val="99"/>
    <w:semiHidden/>
    <w:unhideWhenUsed/>
    <w:rsid w:val="00C812E2"/>
    <w:rPr>
      <w:b/>
      <w:bCs/>
    </w:rPr>
  </w:style>
  <w:style w:type="character" w:customStyle="1" w:styleId="CommentSubjectChar">
    <w:name w:val="Comment Subject Char"/>
    <w:link w:val="CommentSubject"/>
    <w:uiPriority w:val="99"/>
    <w:semiHidden/>
    <w:rsid w:val="00C812E2"/>
    <w:rPr>
      <w:rFonts w:ascii="Calibri" w:eastAsia="Calibri" w:hAnsi="Calibri"/>
      <w:b/>
      <w:bCs/>
      <w:lang w:val="en-I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Strong">
    <w:name w:val="Strong"/>
    <w:qFormat/>
    <w:rPr>
      <w:b/>
      <w:bCs/>
    </w:rPr>
  </w:style>
  <w:style w:type="character" w:customStyle="1" w:styleId="BalloonTextChar">
    <w:name w:val="Balloon Text Char"/>
    <w:rPr>
      <w:rFonts w:ascii="Tahoma" w:hAnsi="Tahoma" w:cs="Tahoma"/>
      <w:sz w:val="16"/>
      <w:szCs w:val="16"/>
      <w:lang w:val="en-I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240" w:lineRule="auto"/>
    </w:pPr>
    <w:rPr>
      <w:rFonts w:ascii="Tahoma" w:hAnsi="Tahoma" w:cs="Tahoma"/>
      <w:sz w:val="16"/>
      <w:szCs w:val="16"/>
    </w:rPr>
  </w:style>
  <w:style w:type="character" w:styleId="CommentReference">
    <w:name w:val="annotation reference"/>
    <w:uiPriority w:val="99"/>
    <w:semiHidden/>
    <w:unhideWhenUsed/>
    <w:rsid w:val="00C812E2"/>
    <w:rPr>
      <w:sz w:val="16"/>
      <w:szCs w:val="16"/>
    </w:rPr>
  </w:style>
  <w:style w:type="paragraph" w:styleId="CommentText">
    <w:name w:val="annotation text"/>
    <w:basedOn w:val="Normal"/>
    <w:link w:val="CommentTextChar"/>
    <w:uiPriority w:val="99"/>
    <w:semiHidden/>
    <w:unhideWhenUsed/>
    <w:rsid w:val="00C812E2"/>
    <w:rPr>
      <w:sz w:val="20"/>
      <w:szCs w:val="20"/>
    </w:rPr>
  </w:style>
  <w:style w:type="character" w:customStyle="1" w:styleId="CommentTextChar">
    <w:name w:val="Comment Text Char"/>
    <w:link w:val="CommentText"/>
    <w:uiPriority w:val="99"/>
    <w:semiHidden/>
    <w:rsid w:val="00C812E2"/>
    <w:rPr>
      <w:rFonts w:ascii="Calibri" w:eastAsia="Calibri" w:hAnsi="Calibri"/>
      <w:lang w:val="en-IN" w:eastAsia="zh-CN"/>
    </w:rPr>
  </w:style>
  <w:style w:type="paragraph" w:styleId="CommentSubject">
    <w:name w:val="annotation subject"/>
    <w:basedOn w:val="CommentText"/>
    <w:next w:val="CommentText"/>
    <w:link w:val="CommentSubjectChar"/>
    <w:uiPriority w:val="99"/>
    <w:semiHidden/>
    <w:unhideWhenUsed/>
    <w:rsid w:val="00C812E2"/>
    <w:rPr>
      <w:b/>
      <w:bCs/>
    </w:rPr>
  </w:style>
  <w:style w:type="character" w:customStyle="1" w:styleId="CommentSubjectChar">
    <w:name w:val="Comment Subject Char"/>
    <w:link w:val="CommentSubject"/>
    <w:uiPriority w:val="99"/>
    <w:semiHidden/>
    <w:rsid w:val="00C812E2"/>
    <w:rPr>
      <w:rFonts w:ascii="Calibri" w:eastAsia="Calibri" w:hAnsi="Calibri"/>
      <w:b/>
      <w:bCs/>
      <w:lang w:val="en-I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998093">
      <w:bodyDiv w:val="1"/>
      <w:marLeft w:val="0"/>
      <w:marRight w:val="0"/>
      <w:marTop w:val="0"/>
      <w:marBottom w:val="0"/>
      <w:divBdr>
        <w:top w:val="none" w:sz="0" w:space="0" w:color="auto"/>
        <w:left w:val="none" w:sz="0" w:space="0" w:color="auto"/>
        <w:bottom w:val="none" w:sz="0" w:space="0" w:color="auto"/>
        <w:right w:val="none" w:sz="0" w:space="0" w:color="auto"/>
      </w:divBdr>
    </w:div>
    <w:div w:id="1109424165">
      <w:bodyDiv w:val="1"/>
      <w:marLeft w:val="0"/>
      <w:marRight w:val="0"/>
      <w:marTop w:val="0"/>
      <w:marBottom w:val="0"/>
      <w:divBdr>
        <w:top w:val="none" w:sz="0" w:space="0" w:color="auto"/>
        <w:left w:val="none" w:sz="0" w:space="0" w:color="auto"/>
        <w:bottom w:val="none" w:sz="0" w:space="0" w:color="auto"/>
        <w:right w:val="none" w:sz="0" w:space="0" w:color="auto"/>
      </w:divBdr>
    </w:div>
    <w:div w:id="190232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A. Kulkarni</dc:creator>
  <cp:lastModifiedBy>vwj</cp:lastModifiedBy>
  <cp:revision>10</cp:revision>
  <cp:lastPrinted>2018-05-19T07:45:00Z</cp:lastPrinted>
  <dcterms:created xsi:type="dcterms:W3CDTF">2018-05-19T05:53:00Z</dcterms:created>
  <dcterms:modified xsi:type="dcterms:W3CDTF">2018-08-03T06:41:00Z</dcterms:modified>
</cp:coreProperties>
</file>